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>Образец</w:t>
      </w:r>
    </w:p>
    <w:p w:rsid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/>
          <w:bCs/>
          <w:lang w:val="bg-BG"/>
        </w:rPr>
      </w:pPr>
      <w:bookmarkStart w:id="0" w:name="_GoBack"/>
      <w:bookmarkEnd w:id="0"/>
    </w:p>
    <w:p w:rsidR="00EE690E" w:rsidRPr="00EE690E" w:rsidRDefault="00EE690E" w:rsidP="00EE690E">
      <w:pPr>
        <w:rPr>
          <w:b/>
          <w:bCs/>
          <w:lang w:val="en-GB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en-GB"/>
        </w:rPr>
        <w:t xml:space="preserve">Д Е К Л А Р А Ц И Я </w:t>
      </w:r>
    </w:p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  <w:t>ЗА АВТОНОМНОСТ НА ОФЕРТАТА</w:t>
      </w:r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Долуподписаният/-ата..................................................................................., 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ЕГН........................,притежаващ лична карта №..............,издадена на ............ от МВР-гр............................................….....,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адрес:..........................................................................................................,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представляващ..................................., в качеството си на .....................….....,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/наименование на </w:t>
      </w:r>
      <w:proofErr w:type="spellStart"/>
      <w:r w:rsidRPr="00EE690E">
        <w:rPr>
          <w:bCs/>
          <w:lang w:val="bg-BG"/>
        </w:rPr>
        <w:t>юрид.лице,физ.лице</w:t>
      </w:r>
      <w:proofErr w:type="spellEnd"/>
      <w:r w:rsidRPr="00EE690E">
        <w:rPr>
          <w:bCs/>
          <w:lang w:val="bg-BG"/>
        </w:rPr>
        <w:t>., ЕТ/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Със седалище и адрес на управление..........................................…................., ЕИК: ............................ 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участник в открита процедура по Закона за обществените поръчки, с предмет: </w:t>
      </w:r>
    </w:p>
    <w:p w:rsidR="00EE690E" w:rsidRPr="00EE690E" w:rsidRDefault="00EE690E" w:rsidP="00EE690E">
      <w:pPr>
        <w:spacing w:line="240" w:lineRule="auto"/>
        <w:ind w:left="180" w:hanging="180"/>
        <w:rPr>
          <w:rFonts w:eastAsia="Times New Roman"/>
          <w:b/>
          <w:szCs w:val="24"/>
          <w:lang w:eastAsia="bg-BG"/>
        </w:rPr>
      </w:pPr>
      <w:r w:rsidRPr="00EE690E">
        <w:rPr>
          <w:rFonts w:eastAsia="Times New Roman"/>
          <w:b/>
          <w:szCs w:val="24"/>
          <w:lang w:val="bg-BG" w:eastAsia="bg-BG"/>
        </w:rPr>
        <w:t>ДОСТАВКА НА ТРЪБИ ОТ ПОЛИЕТИЛЕН ВИСОКА ПЛЪТНОСТ И ФИТИНГИ</w:t>
      </w:r>
    </w:p>
    <w:p w:rsidR="00EE690E" w:rsidRPr="00EE690E" w:rsidRDefault="00EE690E" w:rsidP="00EE690E">
      <w:pPr>
        <w:spacing w:line="240" w:lineRule="auto"/>
        <w:ind w:left="180" w:hanging="180"/>
        <w:rPr>
          <w:rFonts w:eastAsia="Times New Roman"/>
          <w:b/>
          <w:szCs w:val="24"/>
          <w:lang w:eastAsia="bg-BG"/>
        </w:rPr>
      </w:pPr>
      <w:r w:rsidRPr="00EE690E">
        <w:rPr>
          <w:rFonts w:eastAsia="Times New Roman"/>
          <w:b/>
          <w:szCs w:val="24"/>
          <w:lang w:val="bg-BG" w:eastAsia="bg-BG"/>
        </w:rPr>
        <w:t>В 3 ЛОТА</w:t>
      </w:r>
    </w:p>
    <w:p w:rsidR="00EE690E" w:rsidRPr="00EE690E" w:rsidRDefault="00EE690E" w:rsidP="00EE690E">
      <w:pPr>
        <w:spacing w:line="240" w:lineRule="auto"/>
        <w:ind w:left="180" w:hanging="180"/>
        <w:jc w:val="both"/>
        <w:rPr>
          <w:rFonts w:eastAsia="Times New Roman"/>
          <w:color w:val="FF0000"/>
          <w:szCs w:val="24"/>
          <w:lang w:val="bg-BG" w:eastAsia="bg-BG"/>
        </w:rPr>
      </w:pPr>
      <w:r w:rsidRPr="00EE690E">
        <w:rPr>
          <w:rFonts w:eastAsia="Times New Roman"/>
          <w:szCs w:val="24"/>
          <w:lang w:val="bg-BG" w:eastAsia="bg-BG"/>
        </w:rPr>
        <w:t xml:space="preserve">  ЛОТ 1 - ТРЪБИ </w:t>
      </w:r>
      <w:r w:rsidRPr="00EE690E">
        <w:rPr>
          <w:rFonts w:eastAsia="Times New Roman"/>
          <w:szCs w:val="24"/>
          <w:lang w:eastAsia="bg-BG"/>
        </w:rPr>
        <w:t>HDPE</w:t>
      </w:r>
      <w:r w:rsidRPr="00EE690E">
        <w:rPr>
          <w:rFonts w:eastAsia="Times New Roman"/>
          <w:szCs w:val="24"/>
          <w:lang w:val="bg-BG" w:eastAsia="bg-BG"/>
        </w:rPr>
        <w:t xml:space="preserve"> </w:t>
      </w:r>
      <w:r w:rsidRPr="00EE690E">
        <w:rPr>
          <w:rFonts w:eastAsia="Times New Roman"/>
          <w:szCs w:val="24"/>
          <w:lang w:eastAsia="bg-BG"/>
        </w:rPr>
        <w:t xml:space="preserve">PE 100 </w:t>
      </w:r>
      <w:r w:rsidRPr="00EE690E">
        <w:rPr>
          <w:rFonts w:eastAsia="Times New Roman"/>
          <w:szCs w:val="24"/>
          <w:lang w:val="bg-BG" w:eastAsia="bg-BG"/>
        </w:rPr>
        <w:t xml:space="preserve">и РЕ 100 </w:t>
      </w:r>
      <w:r w:rsidRPr="00EE690E">
        <w:rPr>
          <w:rFonts w:eastAsia="Times New Roman"/>
          <w:szCs w:val="24"/>
          <w:lang w:eastAsia="bg-BG"/>
        </w:rPr>
        <w:t>RC</w:t>
      </w:r>
    </w:p>
    <w:p w:rsidR="00EE690E" w:rsidRPr="00EE690E" w:rsidRDefault="00EE690E" w:rsidP="00EE690E">
      <w:pPr>
        <w:spacing w:line="240" w:lineRule="auto"/>
        <w:ind w:left="180" w:hanging="180"/>
        <w:jc w:val="both"/>
        <w:rPr>
          <w:rFonts w:eastAsia="Times New Roman"/>
          <w:b/>
          <w:bCs/>
          <w:szCs w:val="24"/>
          <w:lang w:val="bg-BG" w:eastAsia="bg-BG"/>
        </w:rPr>
      </w:pPr>
      <w:r w:rsidRPr="00EE690E">
        <w:rPr>
          <w:rFonts w:eastAsia="Times New Roman"/>
          <w:szCs w:val="24"/>
          <w:lang w:val="bg-BG" w:eastAsia="bg-BG"/>
        </w:rPr>
        <w:t xml:space="preserve">  ЛОТ 2 - </w:t>
      </w:r>
      <w:r w:rsidRPr="00EE690E">
        <w:rPr>
          <w:rFonts w:eastAsia="Times New Roman"/>
          <w:bCs/>
          <w:szCs w:val="24"/>
          <w:lang w:val="bg-BG" w:eastAsia="bg-BG"/>
        </w:rPr>
        <w:t>ФИТИНГИ  ЗА ЧЕЛНА ЗАВАРКА И ЕЛЕКТРОЗАВАРКА</w:t>
      </w:r>
    </w:p>
    <w:p w:rsidR="00EE690E" w:rsidRPr="00EE690E" w:rsidRDefault="00EE690E" w:rsidP="00EE690E">
      <w:pPr>
        <w:spacing w:line="240" w:lineRule="auto"/>
        <w:ind w:left="180" w:hanging="180"/>
        <w:jc w:val="both"/>
        <w:rPr>
          <w:rFonts w:eastAsia="Times New Roman"/>
          <w:b/>
          <w:bCs/>
          <w:szCs w:val="24"/>
          <w:lang w:val="bg-BG" w:eastAsia="bg-BG"/>
        </w:rPr>
      </w:pPr>
      <w:r w:rsidRPr="00EE690E">
        <w:rPr>
          <w:rFonts w:eastAsia="Times New Roman"/>
          <w:szCs w:val="24"/>
          <w:lang w:val="bg-BG" w:eastAsia="bg-BG"/>
        </w:rPr>
        <w:t xml:space="preserve">  ЛОТ 3 - </w:t>
      </w:r>
      <w:r w:rsidRPr="00EE690E">
        <w:rPr>
          <w:rFonts w:eastAsia="Times New Roman"/>
          <w:bCs/>
          <w:szCs w:val="24"/>
          <w:lang w:val="bg-BG" w:eastAsia="bg-BG"/>
        </w:rPr>
        <w:t>РЕЗБОВИ ФИТИНГИ ЗА ТРЪБИ, ВОДОВЗЕМНИ СКОБИ И АДАПТОРИ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</w:p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>ДЕКЛАРИРАМ, ЧЕ:</w:t>
      </w:r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ru-RU"/>
        </w:rPr>
        <w:t xml:space="preserve">Съм запознат с </w:t>
      </w:r>
      <w:r w:rsidRPr="00EE690E">
        <w:rPr>
          <w:bCs/>
          <w:lang w:val="bg-BG"/>
        </w:rPr>
        <w:t>Насоките за противодействие срещу тръжните манипулации в процедурите за възлагане на обществени поръчки и приложения към тях Списък на обстоятелства, наличието на които обуславя съмнение за тръжни манипулации, приети с Решение на Комисията за защита на конкуренцията № 570/20.05.2010 г. публикувани на интернет страницата на КЗК: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hyperlink r:id="rId6" w:history="1">
        <w:r w:rsidRPr="00EE690E">
          <w:rPr>
            <w:rStyle w:val="Hyperlink"/>
            <w:bCs/>
          </w:rPr>
          <w:t>http</w:t>
        </w:r>
        <w:r w:rsidRPr="00EE690E">
          <w:rPr>
            <w:rStyle w:val="Hyperlink"/>
            <w:bCs/>
            <w:lang w:val="ru-RU"/>
          </w:rPr>
          <w:t>://</w:t>
        </w:r>
        <w:r w:rsidRPr="00EE690E">
          <w:rPr>
            <w:rStyle w:val="Hyperlink"/>
            <w:bCs/>
          </w:rPr>
          <w:t>www</w:t>
        </w:r>
        <w:r w:rsidRPr="00EE690E">
          <w:rPr>
            <w:rStyle w:val="Hyperlink"/>
            <w:bCs/>
            <w:lang w:val="ru-RU"/>
          </w:rPr>
          <w:t>.</w:t>
        </w:r>
        <w:proofErr w:type="spellStart"/>
        <w:r w:rsidRPr="00EE690E">
          <w:rPr>
            <w:rStyle w:val="Hyperlink"/>
            <w:bCs/>
          </w:rPr>
          <w:t>cpc</w:t>
        </w:r>
        <w:proofErr w:type="spellEnd"/>
        <w:r w:rsidRPr="00EE690E">
          <w:rPr>
            <w:rStyle w:val="Hyperlink"/>
            <w:bCs/>
            <w:lang w:val="ru-RU"/>
          </w:rPr>
          <w:t>.</w:t>
        </w:r>
        <w:proofErr w:type="spellStart"/>
        <w:r w:rsidRPr="00EE690E">
          <w:rPr>
            <w:rStyle w:val="Hyperlink"/>
            <w:bCs/>
          </w:rPr>
          <w:t>bg</w:t>
        </w:r>
        <w:proofErr w:type="spellEnd"/>
        <w:r w:rsidRPr="00EE690E">
          <w:rPr>
            <w:rStyle w:val="Hyperlink"/>
            <w:bCs/>
            <w:lang w:val="ru-RU"/>
          </w:rPr>
          <w:t>/</w:t>
        </w:r>
        <w:r w:rsidRPr="00EE690E">
          <w:rPr>
            <w:rStyle w:val="Hyperlink"/>
            <w:bCs/>
          </w:rPr>
          <w:t>storage</w:t>
        </w:r>
        <w:r w:rsidRPr="00EE690E">
          <w:rPr>
            <w:rStyle w:val="Hyperlink"/>
            <w:bCs/>
            <w:lang w:val="ru-RU"/>
          </w:rPr>
          <w:t>/</w:t>
        </w:r>
        <w:r w:rsidRPr="00EE690E">
          <w:rPr>
            <w:rStyle w:val="Hyperlink"/>
            <w:bCs/>
          </w:rPr>
          <w:t>file</w:t>
        </w:r>
        <w:r w:rsidRPr="00EE690E">
          <w:rPr>
            <w:rStyle w:val="Hyperlink"/>
            <w:bCs/>
            <w:lang w:val="ru-RU"/>
          </w:rPr>
          <w:t>/</w:t>
        </w:r>
        <w:r w:rsidRPr="00EE690E">
          <w:rPr>
            <w:rStyle w:val="Hyperlink"/>
            <w:bCs/>
          </w:rPr>
          <w:t>CP</w:t>
        </w:r>
        <w:r w:rsidRPr="00EE690E">
          <w:rPr>
            <w:rStyle w:val="Hyperlink"/>
            <w:bCs/>
          </w:rPr>
          <w:t>C</w:t>
        </w:r>
        <w:r w:rsidRPr="00EE690E">
          <w:rPr>
            <w:rStyle w:val="Hyperlink"/>
            <w:bCs/>
            <w:lang w:val="ru-RU"/>
          </w:rPr>
          <w:t>%20</w:t>
        </w:r>
        <w:r w:rsidRPr="00EE690E">
          <w:rPr>
            <w:rStyle w:val="Hyperlink"/>
            <w:bCs/>
          </w:rPr>
          <w:t>Guidelines</w:t>
        </w:r>
        <w:r w:rsidRPr="00EE690E">
          <w:rPr>
            <w:rStyle w:val="Hyperlink"/>
            <w:bCs/>
            <w:lang w:val="ru-RU"/>
          </w:rPr>
          <w:t>%20</w:t>
        </w:r>
        <w:r w:rsidRPr="00EE690E">
          <w:rPr>
            <w:rStyle w:val="Hyperlink"/>
            <w:bCs/>
          </w:rPr>
          <w:t>Bid</w:t>
        </w:r>
        <w:r w:rsidRPr="00EE690E">
          <w:rPr>
            <w:rStyle w:val="Hyperlink"/>
            <w:bCs/>
            <w:lang w:val="ru-RU"/>
          </w:rPr>
          <w:t>-</w:t>
        </w:r>
        <w:r w:rsidRPr="00EE690E">
          <w:rPr>
            <w:rStyle w:val="Hyperlink"/>
            <w:bCs/>
          </w:rPr>
          <w:t>rigging</w:t>
        </w:r>
        <w:r w:rsidRPr="00EE690E">
          <w:rPr>
            <w:rStyle w:val="Hyperlink"/>
            <w:bCs/>
            <w:lang w:val="ru-RU"/>
          </w:rPr>
          <w:t>%20</w:t>
        </w:r>
        <w:r w:rsidRPr="00EE690E">
          <w:rPr>
            <w:rStyle w:val="Hyperlink"/>
            <w:bCs/>
          </w:rPr>
          <w:t>final</w:t>
        </w:r>
        <w:r w:rsidRPr="00EE690E">
          <w:rPr>
            <w:rStyle w:val="Hyperlink"/>
            <w:bCs/>
            <w:lang w:val="ru-RU"/>
          </w:rPr>
          <w:t>.</w:t>
        </w:r>
        <w:r w:rsidRPr="00EE690E">
          <w:rPr>
            <w:rStyle w:val="Hyperlink"/>
            <w:bCs/>
          </w:rPr>
          <w:t>doc</w:t>
        </w:r>
      </w:hyperlink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 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 и Списък на обстоятелствата, които обуславят съмнение за тръжни манипулации, публикуван на интернет страницата на КЗК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hyperlink r:id="rId7" w:history="1">
        <w:r w:rsidRPr="00EE690E">
          <w:rPr>
            <w:rStyle w:val="Hyperlink"/>
            <w:bCs/>
            <w:lang w:val="en-GB"/>
          </w:rPr>
          <w:t>http</w:t>
        </w:r>
        <w:r w:rsidRPr="00EE690E">
          <w:rPr>
            <w:rStyle w:val="Hyperlink"/>
            <w:bCs/>
            <w:lang w:val="bg-BG"/>
          </w:rPr>
          <w:t>://</w:t>
        </w:r>
        <w:r w:rsidRPr="00EE690E">
          <w:rPr>
            <w:rStyle w:val="Hyperlink"/>
            <w:bCs/>
            <w:lang w:val="en-GB"/>
          </w:rPr>
          <w:t>www</w:t>
        </w:r>
        <w:r w:rsidRPr="00EE690E">
          <w:rPr>
            <w:rStyle w:val="Hyperlink"/>
            <w:bCs/>
            <w:lang w:val="bg-BG"/>
          </w:rPr>
          <w:t>.</w:t>
        </w:r>
        <w:proofErr w:type="spellStart"/>
        <w:r w:rsidRPr="00EE690E">
          <w:rPr>
            <w:rStyle w:val="Hyperlink"/>
            <w:bCs/>
            <w:lang w:val="en-GB"/>
          </w:rPr>
          <w:t>cpc</w:t>
        </w:r>
        <w:proofErr w:type="spellEnd"/>
        <w:r w:rsidRPr="00EE690E">
          <w:rPr>
            <w:rStyle w:val="Hyperlink"/>
            <w:bCs/>
            <w:lang w:val="bg-BG"/>
          </w:rPr>
          <w:t>.</w:t>
        </w:r>
        <w:proofErr w:type="spellStart"/>
        <w:r w:rsidRPr="00EE690E">
          <w:rPr>
            <w:rStyle w:val="Hyperlink"/>
            <w:bCs/>
            <w:lang w:val="en-GB"/>
          </w:rPr>
          <w:t>bg</w:t>
        </w:r>
        <w:proofErr w:type="spellEnd"/>
        <w:r w:rsidRPr="00EE690E">
          <w:rPr>
            <w:rStyle w:val="Hyperlink"/>
            <w:bCs/>
            <w:lang w:val="bg-BG"/>
          </w:rPr>
          <w:t>/</w:t>
        </w:r>
        <w:r w:rsidRPr="00EE690E">
          <w:rPr>
            <w:rStyle w:val="Hyperlink"/>
            <w:bCs/>
            <w:lang w:val="en-GB"/>
          </w:rPr>
          <w:t>storage</w:t>
        </w:r>
        <w:r w:rsidRPr="00EE690E">
          <w:rPr>
            <w:rStyle w:val="Hyperlink"/>
            <w:bCs/>
            <w:lang w:val="bg-BG"/>
          </w:rPr>
          <w:t>/</w:t>
        </w:r>
        <w:r w:rsidRPr="00EE690E">
          <w:rPr>
            <w:rStyle w:val="Hyperlink"/>
            <w:bCs/>
            <w:lang w:val="en-GB"/>
          </w:rPr>
          <w:t>file</w:t>
        </w:r>
        <w:r w:rsidRPr="00EE690E">
          <w:rPr>
            <w:rStyle w:val="Hyperlink"/>
            <w:bCs/>
            <w:lang w:val="bg-BG"/>
          </w:rPr>
          <w:t>/</w:t>
        </w:r>
        <w:r w:rsidRPr="00EE690E">
          <w:rPr>
            <w:rStyle w:val="Hyperlink"/>
            <w:bCs/>
            <w:lang w:val="en-GB"/>
          </w:rPr>
          <w:t>CPC</w:t>
        </w:r>
        <w:r w:rsidRPr="00EE690E">
          <w:rPr>
            <w:rStyle w:val="Hyperlink"/>
            <w:bCs/>
            <w:lang w:val="bg-BG"/>
          </w:rPr>
          <w:t>%20</w:t>
        </w:r>
        <w:r w:rsidRPr="00EE690E">
          <w:rPr>
            <w:rStyle w:val="Hyperlink"/>
            <w:bCs/>
            <w:lang w:val="en-GB"/>
          </w:rPr>
          <w:t>Check</w:t>
        </w:r>
        <w:r w:rsidRPr="00EE690E">
          <w:rPr>
            <w:rStyle w:val="Hyperlink"/>
            <w:bCs/>
            <w:lang w:val="bg-BG"/>
          </w:rPr>
          <w:t>%20</w:t>
        </w:r>
        <w:r w:rsidRPr="00EE690E">
          <w:rPr>
            <w:rStyle w:val="Hyperlink"/>
            <w:bCs/>
            <w:lang w:val="en-GB"/>
          </w:rPr>
          <w:t>list</w:t>
        </w:r>
        <w:r w:rsidRPr="00EE690E">
          <w:rPr>
            <w:rStyle w:val="Hyperlink"/>
            <w:bCs/>
            <w:lang w:val="bg-BG"/>
          </w:rPr>
          <w:t>%20</w:t>
        </w:r>
        <w:r w:rsidRPr="00EE690E">
          <w:rPr>
            <w:rStyle w:val="Hyperlink"/>
            <w:bCs/>
            <w:lang w:val="en-GB"/>
          </w:rPr>
          <w:t>Bid</w:t>
        </w:r>
        <w:r w:rsidRPr="00EE690E">
          <w:rPr>
            <w:rStyle w:val="Hyperlink"/>
            <w:bCs/>
            <w:lang w:val="bg-BG"/>
          </w:rPr>
          <w:t>-</w:t>
        </w:r>
        <w:r w:rsidRPr="00EE690E">
          <w:rPr>
            <w:rStyle w:val="Hyperlink"/>
            <w:bCs/>
            <w:lang w:val="en-GB"/>
          </w:rPr>
          <w:t>rigging</w:t>
        </w:r>
        <w:r w:rsidRPr="00EE690E">
          <w:rPr>
            <w:rStyle w:val="Hyperlink"/>
            <w:bCs/>
            <w:lang w:val="bg-BG"/>
          </w:rPr>
          <w:t>%20</w:t>
        </w:r>
        <w:r w:rsidRPr="00EE690E">
          <w:rPr>
            <w:rStyle w:val="Hyperlink"/>
            <w:bCs/>
            <w:lang w:val="en-GB"/>
          </w:rPr>
          <w:t>final</w:t>
        </w:r>
        <w:r w:rsidRPr="00EE690E">
          <w:rPr>
            <w:rStyle w:val="Hyperlink"/>
            <w:bCs/>
            <w:lang w:val="bg-BG"/>
          </w:rPr>
          <w:t>.</w:t>
        </w:r>
        <w:r w:rsidRPr="00EE690E">
          <w:rPr>
            <w:rStyle w:val="Hyperlink"/>
            <w:bCs/>
            <w:lang w:val="en-GB"/>
          </w:rPr>
          <w:t>doc</w:t>
        </w:r>
      </w:hyperlink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и съм осведомен, че съгласуваното определяне на офертите представлява форма на</w:t>
      </w:r>
      <w:r w:rsidRPr="00EE690E">
        <w:rPr>
          <w:bCs/>
          <w:u w:val="single"/>
          <w:lang w:val="bg-BG"/>
        </w:rPr>
        <w:t xml:space="preserve"> </w:t>
      </w:r>
      <w:r w:rsidRPr="00EE690E">
        <w:rPr>
          <w:bCs/>
          <w:lang w:val="bg-BG"/>
        </w:rPr>
        <w:t>тръжна манипулация, която е забранена от правото на конкуренцията.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lastRenderedPageBreak/>
        <w:t>По повод на участието на представлявания от мене участник в настоящата процедура</w:t>
      </w:r>
      <w:r w:rsidRPr="00EE690E">
        <w:rPr>
          <w:bCs/>
          <w:vertAlign w:val="superscript"/>
          <w:lang w:val="bg-BG"/>
        </w:rPr>
        <w:footnoteReference w:id="1"/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□ не съм участвал в тръжни манипулации или картел по см. на § 1, т.5 от ДР на Закона за защита на конкуренцията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□ съм провеждал следните комуникации с конкуренти във връзка с участието в процедурата:........................................................................................... </w:t>
      </w:r>
    </w:p>
    <w:p w:rsidR="00EE690E" w:rsidRPr="00EE690E" w:rsidRDefault="00EE690E" w:rsidP="00EE690E">
      <w:pPr>
        <w:rPr>
          <w:bCs/>
          <w:u w:val="single"/>
          <w:lang w:val="bg-BG"/>
        </w:rPr>
      </w:pPr>
    </w:p>
    <w:p w:rsidR="00EE690E" w:rsidRPr="00EE690E" w:rsidRDefault="00EE690E" w:rsidP="00EE690E">
      <w:pPr>
        <w:rPr>
          <w:bCs/>
          <w:u w:val="single"/>
          <w:lang w:val="bg-BG"/>
        </w:rPr>
      </w:pPr>
    </w:p>
    <w:p w:rsidR="00EE690E" w:rsidRPr="00EE690E" w:rsidRDefault="00EE690E" w:rsidP="00EE690E">
      <w:pPr>
        <w:rPr>
          <w:bCs/>
          <w:u w:val="single"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  <w:t xml:space="preserve"> </w:t>
      </w:r>
      <w:r w:rsidRPr="00EE690E">
        <w:rPr>
          <w:bCs/>
          <w:lang w:val="bg-BG"/>
        </w:rPr>
        <w:t>г.</w:t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  <w:t xml:space="preserve">Декларатор: </w:t>
      </w:r>
      <w:r w:rsidRPr="00EE690E">
        <w:rPr>
          <w:bCs/>
          <w:lang w:val="bg-BG"/>
        </w:rPr>
        <w:softHyphen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</w:p>
    <w:p w:rsidR="00EE690E" w:rsidRPr="00EE690E" w:rsidRDefault="00EE690E" w:rsidP="00EE690E">
      <w:pPr>
        <w:rPr>
          <w:bCs/>
          <w:iCs/>
          <w:lang w:val="bg-BG"/>
        </w:rPr>
      </w:pPr>
      <w:r w:rsidRPr="00EE690E">
        <w:rPr>
          <w:bCs/>
          <w:iCs/>
          <w:lang w:val="bg-BG"/>
        </w:rPr>
        <w:t xml:space="preserve">(дата на подписване) </w:t>
      </w:r>
    </w:p>
    <w:p w:rsidR="00EE690E" w:rsidRPr="00EE690E" w:rsidRDefault="00EE690E" w:rsidP="00EE690E">
      <w:pPr>
        <w:rPr>
          <w:bCs/>
          <w:iCs/>
          <w:lang w:val="bg-BG"/>
        </w:rPr>
      </w:pPr>
    </w:p>
    <w:p w:rsidR="00EE690E" w:rsidRPr="00EE690E" w:rsidRDefault="00EE690E" w:rsidP="00EE690E">
      <w:pPr>
        <w:rPr>
          <w:lang w:val="en-GB"/>
        </w:rPr>
      </w:pPr>
    </w:p>
    <w:p w:rsidR="00802E56" w:rsidRDefault="00802E56"/>
    <w:sectPr w:rsidR="00802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11" w:rsidRDefault="006C2D11" w:rsidP="00EE690E">
      <w:pPr>
        <w:spacing w:line="240" w:lineRule="auto"/>
      </w:pPr>
      <w:r>
        <w:separator/>
      </w:r>
    </w:p>
  </w:endnote>
  <w:endnote w:type="continuationSeparator" w:id="0">
    <w:p w:rsidR="006C2D11" w:rsidRDefault="006C2D11" w:rsidP="00EE6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11" w:rsidRDefault="006C2D11" w:rsidP="00EE690E">
      <w:pPr>
        <w:spacing w:line="240" w:lineRule="auto"/>
      </w:pPr>
      <w:r>
        <w:separator/>
      </w:r>
    </w:p>
  </w:footnote>
  <w:footnote w:type="continuationSeparator" w:id="0">
    <w:p w:rsidR="006C2D11" w:rsidRDefault="006C2D11" w:rsidP="00EE690E">
      <w:pPr>
        <w:spacing w:line="240" w:lineRule="auto"/>
      </w:pPr>
      <w:r>
        <w:continuationSeparator/>
      </w:r>
    </w:p>
  </w:footnote>
  <w:footnote w:id="1">
    <w:p w:rsidR="00EE690E" w:rsidRPr="00FD0782" w:rsidRDefault="00EE690E" w:rsidP="00EE690E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Вярното се отбелязва със знак „Х”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0E"/>
    <w:rsid w:val="006C2D11"/>
    <w:rsid w:val="00802E56"/>
    <w:rsid w:val="00E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85942-DE9B-43DB-9C50-076C2375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E690E"/>
    <w:pPr>
      <w:spacing w:line="240" w:lineRule="auto"/>
    </w:pPr>
    <w:rPr>
      <w:rFonts w:eastAsia="Times New Roman"/>
      <w:snapToGrid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E690E"/>
    <w:rPr>
      <w:rFonts w:eastAsia="Times New Roman"/>
      <w:snapToGrid w:val="0"/>
      <w:sz w:val="20"/>
      <w:szCs w:val="20"/>
      <w:lang w:val="en-GB"/>
    </w:rPr>
  </w:style>
  <w:style w:type="character" w:styleId="FootnoteReference">
    <w:name w:val="footnote reference"/>
    <w:rsid w:val="00EE69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69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pc.bg/storage/file/CPC%20Check%20list%20Bid-rigging%20final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c.bg/storage/file/CPC%20Guidelines%20Bid-rigging%20final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Donev</dc:creator>
  <cp:keywords/>
  <dc:description/>
  <cp:lastModifiedBy>Stefan Donev</cp:lastModifiedBy>
  <cp:revision>1</cp:revision>
  <dcterms:created xsi:type="dcterms:W3CDTF">2015-12-16T12:58:00Z</dcterms:created>
  <dcterms:modified xsi:type="dcterms:W3CDTF">2015-12-16T13:07:00Z</dcterms:modified>
</cp:coreProperties>
</file>